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bookmarkStart w:id="1" w:name="_GoBack"/>
      <w:bookmarkEnd w:id="1"/>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24" w:firstLineChars="200"/>
        <w:rPr>
          <w:rFonts w:hint="eastAsia" w:ascii="仿宋" w:hAnsi="仿宋" w:eastAsia="仿宋"/>
          <w:bCs/>
          <w:color w:val="000000" w:themeColor="text1"/>
          <w:spacing w:val="-4"/>
          <w:sz w:val="32"/>
          <w:szCs w:val="32"/>
        </w:rPr>
      </w:pPr>
      <w:r>
        <w:rPr>
          <w:rFonts w:hint="eastAsia" w:ascii="仿宋" w:hAnsi="仿宋" w:eastAsia="仿宋"/>
          <w:bCs/>
          <w:color w:val="000000" w:themeColor="text1"/>
          <w:spacing w:val="-4"/>
          <w:sz w:val="32"/>
          <w:szCs w:val="32"/>
        </w:rPr>
        <w:t>乌恰</w:t>
      </w:r>
      <w:r>
        <w:rPr>
          <w:rFonts w:hint="eastAsia" w:ascii="仿宋" w:hAnsi="仿宋" w:eastAsia="仿宋"/>
          <w:bCs/>
          <w:color w:val="000000" w:themeColor="text1"/>
          <w:spacing w:val="-4"/>
          <w:sz w:val="32"/>
          <w:szCs w:val="32"/>
          <w:lang w:eastAsia="zh-CN"/>
        </w:rPr>
        <w:t>镇</w:t>
      </w:r>
      <w:r>
        <w:rPr>
          <w:rFonts w:hint="eastAsia" w:ascii="仿宋" w:hAnsi="仿宋" w:eastAsia="仿宋"/>
          <w:bCs/>
          <w:color w:val="000000" w:themeColor="text1"/>
          <w:spacing w:val="-4"/>
          <w:sz w:val="32"/>
          <w:szCs w:val="32"/>
        </w:rPr>
        <w:t>位于秀丽的喀拉克山南麓，距喀什市75公里，总面积268平方公里，耕地面积5.2万亩，总人口3.</w:t>
      </w:r>
      <w:r>
        <w:rPr>
          <w:rFonts w:hint="eastAsia" w:ascii="仿宋" w:hAnsi="仿宋" w:eastAsia="仿宋"/>
          <w:bCs/>
          <w:color w:val="000000" w:themeColor="text1"/>
          <w:spacing w:val="-4"/>
          <w:sz w:val="32"/>
          <w:szCs w:val="32"/>
          <w:lang w:val="en-US" w:eastAsia="zh-CN"/>
        </w:rPr>
        <w:t>9</w:t>
      </w:r>
      <w:r>
        <w:rPr>
          <w:rFonts w:hint="eastAsia" w:ascii="仿宋" w:hAnsi="仿宋" w:eastAsia="仿宋"/>
          <w:bCs/>
          <w:color w:val="000000" w:themeColor="text1"/>
          <w:spacing w:val="-4"/>
          <w:sz w:val="32"/>
          <w:szCs w:val="32"/>
        </w:rPr>
        <w:t>万人。乌恰</w:t>
      </w:r>
      <w:r>
        <w:rPr>
          <w:rFonts w:hint="eastAsia" w:ascii="仿宋" w:hAnsi="仿宋" w:eastAsia="仿宋"/>
          <w:bCs/>
          <w:color w:val="000000" w:themeColor="text1"/>
          <w:spacing w:val="-4"/>
          <w:sz w:val="32"/>
          <w:szCs w:val="32"/>
          <w:lang w:eastAsia="zh-CN"/>
        </w:rPr>
        <w:t>镇</w:t>
      </w:r>
      <w:r>
        <w:rPr>
          <w:rFonts w:hint="eastAsia" w:ascii="仿宋" w:hAnsi="仿宋" w:eastAsia="仿宋"/>
          <w:bCs/>
          <w:color w:val="000000" w:themeColor="text1"/>
          <w:spacing w:val="-4"/>
          <w:sz w:val="32"/>
          <w:szCs w:val="32"/>
        </w:rPr>
        <w:t>土质肥沃，光照 资源丰富，自然条件得天独厚，农业以种植小麦、玉米、棉花、豌豆、小茴香等农作物为主，盛产色买提杏、巴旦木、西甜瓜、葡萄等干鲜果品。</w:t>
      </w:r>
    </w:p>
    <w:p>
      <w:pPr>
        <w:keepNext w:val="0"/>
        <w:keepLines w:val="0"/>
        <w:pageBreakBefore w:val="0"/>
        <w:widowControl/>
        <w:kinsoku/>
        <w:wordWrap/>
        <w:overflowPunct/>
        <w:topLinePunct w:val="0"/>
        <w:autoSpaceDE/>
        <w:autoSpaceDN/>
        <w:bidi w:val="0"/>
        <w:adjustRightInd/>
        <w:snapToGrid/>
        <w:spacing w:line="600" w:lineRule="exact"/>
        <w:ind w:firstLine="624" w:firstLineChars="200"/>
        <w:textAlignment w:val="auto"/>
        <w:outlineLvl w:val="9"/>
        <w:rPr>
          <w:rFonts w:hint="eastAsia" w:ascii="仿宋" w:hAnsi="仿宋" w:eastAsia="仿宋" w:cs="仿宋"/>
          <w:sz w:val="32"/>
          <w:szCs w:val="32"/>
        </w:rPr>
      </w:pPr>
      <w:r>
        <w:rPr>
          <w:rFonts w:hint="eastAsia" w:ascii="仿宋" w:hAnsi="仿宋" w:eastAsia="仿宋"/>
          <w:bCs/>
          <w:color w:val="000000" w:themeColor="text1"/>
          <w:spacing w:val="-4"/>
          <w:sz w:val="32"/>
          <w:szCs w:val="32"/>
        </w:rPr>
        <w:t>辖2</w:t>
      </w:r>
      <w:r>
        <w:rPr>
          <w:rFonts w:hint="eastAsia" w:ascii="仿宋" w:hAnsi="仿宋" w:eastAsia="仿宋"/>
          <w:bCs/>
          <w:color w:val="000000" w:themeColor="text1"/>
          <w:spacing w:val="-4"/>
          <w:sz w:val="32"/>
          <w:szCs w:val="32"/>
          <w:lang w:val="en-US" w:eastAsia="zh-CN"/>
        </w:rPr>
        <w:t>9</w:t>
      </w:r>
      <w:r>
        <w:rPr>
          <w:rFonts w:hint="eastAsia" w:ascii="仿宋" w:hAnsi="仿宋" w:eastAsia="仿宋"/>
          <w:bCs/>
          <w:color w:val="000000" w:themeColor="text1"/>
          <w:spacing w:val="-4"/>
          <w:sz w:val="32"/>
          <w:szCs w:val="32"/>
        </w:rPr>
        <w:t>个村委会：乌恰村、艾提木恰合热村、巴格艾日克村、其格勒艾日克村、库瓦什村、依买里村、 坡喀艾日克要地、阿克巴格村、巴依买里斯村、尤喀克台赛克村、阿亚克台赛克村、库其喀其巴格村、乌恰艾日克村、包孜洪巴希买里村、包孜洪村、吾台希村、阔纳萨拉甫村、英萨拉甫村、买金艾日克村、尤喀克亚巴格村、色日克托格拉克村、托万亚巴格村、达汗拉村、哈尼喀买里斯村、霍加勒克霍依拉村、阿亚格包孜洪村、尤喀克包孜洪村，139个村民小组</w:t>
      </w:r>
      <w:r>
        <w:rPr>
          <w:rFonts w:hint="eastAsia" w:ascii="仿宋" w:hAnsi="仿宋" w:eastAsia="仿宋" w:cs="仿宋"/>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乌恰镇拨付了残疾人、老年人各项福利专项资金，保证了全镇困难群众享受政府各项补助及关爱。其次，通过专项资金的发放有利于完善社会保障事业，最后，资金的按时发放，保障困难群众基本生活需求，促进后代人的社会保障要求。</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持续项目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英吉沙县乌恰镇福利专项资金为镇政府社会福利项目，主要保证了全镇困难群众享受政府各项补助及关爱，受益范围为全镇符合条件的困难群众。</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英吉沙县乌恰镇老人福利专项资金为镇政府社会福利项目，预算安排总额为53.2万元，其中财政资金53.2万元，自筹资金0万元，2018年实际收到预算资金53.2万元。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53.2万元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英吉沙县财政局、英吉沙县乌恰镇人民政府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持续</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由乌恰镇人民政府主管项目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英吉沙县乌恰镇人民政府制定了英吉沙县乌恰镇社会保障资金支出及资金核销管理办法，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000000" w:themeColor="text1"/>
          <w:spacing w:val="-4"/>
          <w:sz w:val="32"/>
          <w:szCs w:val="32"/>
        </w:rPr>
        <w:t>三级指标</w:t>
      </w:r>
      <w:r>
        <w:rPr>
          <w:rFonts w:hint="eastAsia" w:ascii="仿宋" w:hAnsi="仿宋" w:eastAsia="仿宋"/>
          <w:bCs/>
          <w:color w:val="000000" w:themeColor="text1"/>
          <w:spacing w:val="-4"/>
          <w:sz w:val="32"/>
          <w:szCs w:val="32"/>
          <w:lang w:val="en-US" w:eastAsia="zh-CN"/>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，其中</w:t>
      </w:r>
      <w:r>
        <w:rPr>
          <w:rFonts w:ascii="仿宋" w:hAnsi="仿宋" w:eastAsia="仿宋"/>
          <w:bCs/>
          <w:color w:val="000000" w:themeColor="text1"/>
          <w:spacing w:val="-4"/>
          <w:sz w:val="32"/>
          <w:szCs w:val="32"/>
        </w:rPr>
        <w:t>已完成三级指标</w:t>
      </w:r>
      <w:r>
        <w:rPr>
          <w:rFonts w:hint="eastAsia" w:ascii="仿宋" w:hAnsi="仿宋" w:eastAsia="仿宋"/>
          <w:bCs/>
          <w:color w:val="000000" w:themeColor="text1"/>
          <w:spacing w:val="-4"/>
          <w:sz w:val="32"/>
          <w:szCs w:val="32"/>
        </w:rPr>
        <w:t>9</w:t>
      </w:r>
      <w:r>
        <w:rPr>
          <w:rFonts w:ascii="仿宋" w:hAnsi="仿宋" w:eastAsia="仿宋"/>
          <w:bCs/>
          <w:color w:val="000000" w:themeColor="text1"/>
          <w:spacing w:val="-4"/>
          <w:sz w:val="32"/>
          <w:szCs w:val="32"/>
        </w:rPr>
        <w:t>个</w:t>
      </w:r>
      <w:r>
        <w:rPr>
          <w:rFonts w:hint="eastAsia" w:ascii="仿宋" w:hAnsi="仿宋" w:eastAsia="仿宋"/>
          <w:bCs/>
          <w:color w:val="000000" w:themeColor="text1"/>
          <w:spacing w:val="-4"/>
          <w:sz w:val="32"/>
          <w:szCs w:val="32"/>
        </w:rPr>
        <w:t>，指标完成率为100.00%。</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根据项目现实施情况，计划下一年度继续申请老人福利专项资金，以保证全镇社保工作正常开展。</w:t>
      </w:r>
    </w:p>
    <w:p>
      <w:pPr>
        <w:adjustRightInd w:val="0"/>
        <w:snapToGrid w:val="0"/>
        <w:spacing w:line="560" w:lineRule="exact"/>
        <w:ind w:firstLine="627" w:firstLineChars="200"/>
        <w:outlineLvl w:val="0"/>
        <w:rPr>
          <w:rFonts w:hint="eastAsia" w:ascii="仿宋" w:hAnsi="仿宋" w:eastAsia="仿宋"/>
          <w:bCs/>
          <w:color w:val="auto"/>
          <w:spacing w:val="-4"/>
          <w:sz w:val="32"/>
          <w:szCs w:val="32"/>
          <w:lang w:val="en-US" w:eastAsia="zh-CN"/>
        </w:rPr>
      </w:pPr>
      <w:r>
        <w:rPr>
          <w:rFonts w:hint="eastAsia" w:ascii="楷体" w:hAnsi="楷体" w:eastAsia="楷体"/>
          <w:b/>
          <w:color w:val="auto"/>
          <w:spacing w:val="-4"/>
          <w:sz w:val="32"/>
          <w:szCs w:val="32"/>
        </w:rPr>
        <w:t>（二）主要经验及做法、存在问题和建议</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英吉沙县乌恰镇老人福利专项</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我镇其他民政资金</w:t>
      </w:r>
      <w:r>
        <w:rPr>
          <w:rFonts w:hint="eastAsia" w:ascii="仿宋" w:hAnsi="仿宋" w:eastAsia="仿宋"/>
          <w:color w:val="auto"/>
          <w:spacing w:val="-4"/>
          <w:sz w:val="32"/>
          <w:szCs w:val="32"/>
        </w:rPr>
        <w:t>今后的</w:t>
      </w:r>
      <w:r>
        <w:rPr>
          <w:rFonts w:hint="eastAsia" w:ascii="仿宋" w:hAnsi="仿宋" w:eastAsia="仿宋"/>
          <w:color w:val="auto"/>
          <w:spacing w:val="-4"/>
          <w:sz w:val="32"/>
          <w:szCs w:val="32"/>
          <w:lang w:val="en-US" w:eastAsia="zh-CN"/>
        </w:rPr>
        <w:t>发放</w:t>
      </w:r>
      <w:r>
        <w:rPr>
          <w:rFonts w:hint="eastAsia" w:ascii="仿宋" w:hAnsi="仿宋" w:eastAsia="仿宋"/>
          <w:color w:val="auto"/>
          <w:spacing w:val="-4"/>
          <w:sz w:val="32"/>
          <w:szCs w:val="32"/>
        </w:rPr>
        <w:t>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97C2DB1"/>
    <w:rsid w:val="14AC65EC"/>
    <w:rsid w:val="232765D5"/>
    <w:rsid w:val="242551F9"/>
    <w:rsid w:val="277C5B66"/>
    <w:rsid w:val="47A658F7"/>
    <w:rsid w:val="4CD52CF3"/>
    <w:rsid w:val="52A22AB4"/>
    <w:rsid w:val="61693E8A"/>
    <w:rsid w:val="64ED4BAD"/>
    <w:rsid w:val="7BCE0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3</TotalTime>
  <ScaleCrop>false</ScaleCrop>
  <LinksUpToDate>false</LinksUpToDate>
  <CharactersWithSpaces>1916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2019-02-01T04:13:39Z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